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ed311ad973795744a8c6edfee35a556c0a4cf"/>
    <w:p>
      <w:pPr>
        <w:pStyle w:val="Heading3"/>
      </w:pPr>
      <w:r>
        <w:t xml:space="preserve">График работы наземного транспорта с 28 марта по 5 апреля</w:t>
      </w:r>
    </w:p>
    <w:p>
      <w:pPr>
        <w:pStyle w:val="FirstParagraph"/>
      </w:pPr>
      <w:r>
        <w:t xml:space="preserve">30.03.2020</w:t>
      </w:r>
    </w:p>
    <w:p>
      <w:pPr>
        <w:pStyle w:val="BodyText"/>
      </w:pPr>
      <w:r>
        <w:rPr>
          <w:bCs/>
          <w:b/>
        </w:rPr>
        <w:t xml:space="preserve">С 28 марта по 5 апреля</w:t>
      </w:r>
      <w:r>
        <w:t xml:space="preserve"> </w:t>
      </w:r>
      <w:r>
        <w:t xml:space="preserve">наземный городской транспорт Москвы будет работать по графику выходных.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Ночные маршруты остаются без изменений.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http://nagatinsky-zaton.mos.ru/transpor/detail/8796344.html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transpor/detail/8796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transpor/detail/8796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2024-04-07T06:09:03Z</dcterms:created>
  <dcterms:modified xsi:type="dcterms:W3CDTF">2024-04-07T06:09:03Z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