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341d79f385aae9f5597bd00e2b1da2bbed1147"/>
    <w:p>
      <w:pPr>
        <w:pStyle w:val="Heading3"/>
      </w:pPr>
      <w:r>
        <w:t xml:space="preserve">В управе района Нагатинский затон пройдут консультационные встречи по капремонту</w:t>
      </w:r>
    </w:p>
    <w:p>
      <w:pPr>
        <w:pStyle w:val="FirstParagraph"/>
      </w:pPr>
      <w:r>
        <w:t xml:space="preserve">01.03.2016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0e4/kapitalnyy-remont-schetch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жители двух домов Нагатинского затона смогут посетить консультации по капитальному ремонту. Они пройдут в управе района.</w:t>
      </w:r>
    </w:p>
    <w:p>
      <w:pPr>
        <w:pStyle w:val="BodyText"/>
      </w:pPr>
      <w:r>
        <w:t xml:space="preserve">Во встрече примут участие жители, которые ранее проголосовали на портале «Активный гражданин» за проведение подобных бесед по вопросу перехода на специальный счет капремонта. Это активисты дома по ул. Затонная, д. 2 и ул. Судостроительная, д. 27 корп. 3.</w:t>
      </w:r>
    </w:p>
    <w:p>
      <w:pPr>
        <w:pStyle w:val="BodyText"/>
      </w:pPr>
      <w:r>
        <w:t xml:space="preserve">Как отметили в управе, горожанам дадут подробную пошаговую инструкцию, которая должна помочь при переводе накоплений денежных средств на капремонт из Фонда капитального ремонта на специальный счет в банке. Таким образом, собственники квартир смогут самостоятельно регулировать процесс накопления и решать, когда именно проводить в домах ремонтные работы.</w:t>
      </w:r>
    </w:p>
    <w:p>
      <w:pPr>
        <w:pStyle w:val="BodyText"/>
      </w:pPr>
      <w:r>
        <w:t xml:space="preserve">Добавим, что встречи начнутся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агентство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http://nagatinsky-zaton.mos.ru/overhaul/methodical-instructions/detail/2562662.html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overhaul/methodical-instructions/detail/2562662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overhaul/methodical-instructions/detail/2562662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2024-09-03T00:55:11Z</dcterms:created>
  <dcterms:modified xsi:type="dcterms:W3CDTF">2024-09-03T00:55:11Z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