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532ea0cf203123b7722599b791807acbd3bef"/>
    <w:p>
      <w:pPr>
        <w:pStyle w:val="Heading3"/>
      </w:pPr>
      <w:r>
        <w:t xml:space="preserve">Задолженность по платежам за капремонт должна быть оплачена даже при смене собственника</w:t>
      </w:r>
    </w:p>
    <w:p>
      <w:pPr>
        <w:pStyle w:val="FirstParagraph"/>
      </w:pPr>
      <w:r>
        <w:t xml:space="preserve">03.06.2015</w:t>
      </w:r>
    </w:p>
    <w:p>
      <w:pPr>
        <w:pStyle w:val="BodyText"/>
      </w:pPr>
      <w:r>
        <w:t xml:space="preserve">Рекомендуется проверить задолженность по платежам за капремонт, также как и за коммунальные услуги при покупке квартиры.</w:t>
      </w:r>
    </w:p>
    <w:p>
      <w:pPr>
        <w:pStyle w:val="BodyText"/>
      </w:pPr>
      <w:r>
        <w:t xml:space="preserve">В отношении должника владелец специального счета в банке или Фонд капремонта может начать претензионно-исковую работу.</w:t>
      </w:r>
    </w:p>
    <w:p>
      <w:pPr>
        <w:pStyle w:val="BodyText"/>
      </w:pPr>
      <w:r>
        <w:t xml:space="preserve">Долг может лечь на плечи нового собственника, так что при покупке квартиры следует внимательнее проверять все документы.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http://nagatinsky-zaton.mos.ru/overhaul/methodical-instructions/detail/1908139.html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overhaul/methodical-instructions/detail/1908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overhaul/methodical-instructions/detail/1908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2024-08-30T03:50:26Z</dcterms:created>
  <dcterms:modified xsi:type="dcterms:W3CDTF">2024-08-30T03:50:26Z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