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6bc0a7e5ca4d68cead3daf2b8ee9584f23e72b"/>
    <w:p>
      <w:pPr>
        <w:pStyle w:val="Heading3"/>
      </w:pPr>
      <w:r>
        <w:t xml:space="preserve">Распоряжение о созыве общих собраний собственников помещений в многоквартирных домах по вопросу формирования фонда капитального ремонта</w:t>
      </w:r>
    </w:p>
    <w:p>
      <w:pPr>
        <w:pStyle w:val="FirstParagraph"/>
      </w:pPr>
      <w:r>
        <w:t xml:space="preserve">27.04.2015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http://nagatinsky-zaton.mos.ru/overhaul/methodical-instructions/detail/1823775.html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overhaul/methodical-instructions/detail/182377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overhaul/methodical-instructions/detail/182377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2024-09-24T03:05:41Z</dcterms:created>
  <dcterms:modified xsi:type="dcterms:W3CDTF">2024-09-24T03:05:41Z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