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c71e2e2afb0c371fefcdcca9a8f55450e0933"/>
    <w:p>
      <w:pPr>
        <w:pStyle w:val="Heading3"/>
      </w:pPr>
      <w:r>
        <w:t xml:space="preserve">МЕТОДИЧЕСКИЕ РЕКОМЕНДАЦИИ по порядку организации собраний по вопросам формирования фонда капитального ремонта на специальном счете</w:t>
      </w:r>
    </w:p>
    <w:p>
      <w:pPr>
        <w:pStyle w:val="FirstParagraph"/>
      </w:pPr>
      <w:r>
        <w:t xml:space="preserve">26.03.2015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http://nagatinsky-zaton.mos.ru/overhaul/methodical-instructions/detail/1690476.html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overhaul/methodical-instructions/detail/1690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overhaul/methodical-instructions/detail/1690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2024-12-28T09:56:13Z</dcterms:created>
  <dcterms:modified xsi:type="dcterms:W3CDTF">2024-12-28T09:56:13Z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