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9b2222877a312069a17636e39156b2506500dd"/>
    <w:p>
      <w:pPr>
        <w:pStyle w:val="Heading3"/>
      </w:pPr>
      <w:r>
        <w:t xml:space="preserve">Губкообразная энцефалопатия крупного рогатого скота</w:t>
      </w:r>
    </w:p>
    <w:p>
      <w:pPr>
        <w:pStyle w:val="FirstParagraph"/>
      </w:pPr>
      <w:r>
        <w:t xml:space="preserve">31.07.2024</w:t>
      </w:r>
    </w:p>
    <w:p>
      <w:pPr>
        <w:pStyle w:val="BodyText"/>
      </w:pPr>
      <w:r>
        <w:drawing>
          <wp:inline>
            <wp:extent cx="5334000" cy="35829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Энцелофап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29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http://nagatinsky-zaton.mos.ru/domashnie-zhivotnye/pamyatki-dlya-vladeltsev-vospriimchivykh-zhivotnykh/detail/12500780.html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domashnie-zhivotnye/pamyatki-dlya-vladeltsev-vospriimchivykh-zhivotnykh/detail/12500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domashnie-zhivotnye/pamyatki-dlya-vladeltsev-vospriimchivykh-zhivotnykh/detail/12500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2024-12-04T05:53:42Z</dcterms:created>
  <dcterms:modified xsi:type="dcterms:W3CDTF">2024-12-04T05:53:42Z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