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африканская-чума-свиней"/>
    <w:p>
      <w:pPr>
        <w:pStyle w:val="Heading3"/>
      </w:pPr>
      <w:r>
        <w:t xml:space="preserve">Африканская чума свиней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drawing>
          <wp:inline>
            <wp:extent cx="5334000" cy="3597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atinsky-zaton.mos.ru/www/Аф%20чума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97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http://nagatinsky-zaton.mos.ru/domashnie-zhivotnye/pamyatki-dlya-vladeltsev-vospriimchivykh-zhivotnykh/detail/12500733.html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domashnie-zhivotnye/pamyatki-dlya-vladeltsev-vospriimchivykh-zhivotnykh/detail/12500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nagatinsky-zaton.mos.ru" TargetMode="External" /><Relationship Type="http://schemas.openxmlformats.org/officeDocument/2006/relationships/hyperlink" Id="rId23" Target="http://nagatinsky-zaton.mos.ru/domashnie-zhivotnye/pamyatki-dlya-vladeltsev-vospriimchivykh-zhivotnykh/detail/12500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2024-12-04T07:16:40Z</dcterms:created>
  <dcterms:modified xsi:type="dcterms:W3CDTF">2024-12-04T07:16:40Z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