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распоряжение-от-22.11.2021-01-10-458"/>
    <w:p>
      <w:pPr>
        <w:pStyle w:val="Heading3"/>
      </w:pPr>
      <w:r>
        <w:t xml:space="preserve">Распоряжение от 22.11.2021 №01-10-458</w:t>
      </w:r>
    </w:p>
    <w:p>
      <w:pPr>
        <w:pStyle w:val="FirstParagraph"/>
      </w:pPr>
      <w:r>
        <w:t xml:space="preserve">14.12.2021</w:t>
      </w:r>
    </w:p>
    <w:p>
      <w:pPr>
        <w:pStyle w:val="BodyText"/>
      </w:pPr>
      <w:r>
        <w:t xml:space="preserve">О внесении изменений в распоряжение префектуры от 16.03.2015 № 01-41-124 (Об утверждении адресного перечня сезонных (летних) кафе при стационарных предприятиях общественного питания на территории Южного административного округа города Москвы)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http://nagatinsky-zaton.mos.ru/consumer-market/placement-of-non-stationary-trading-facilities/detail/10470217.html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consumer-market/placement-of-non-stationary-trading-facilities/detail/104702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consumer-market/placement-of-non-stationary-trading-facilities/detail/104702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2024-03-18T08:26:55Z</dcterms:created>
  <dcterms:modified xsi:type="dcterms:W3CDTF">2024-03-18T08:26:55Z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