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b34911da7bfcf88763bc82388c1f7ecb7217f7"/>
    <w:p>
      <w:pPr>
        <w:pStyle w:val="Heading3"/>
      </w:pPr>
      <w:r>
        <w:t xml:space="preserve">Обязательные требования по подсветке информационных конструкций (вывесок)</w:t>
      </w:r>
    </w:p>
    <w:p>
      <w:pPr>
        <w:pStyle w:val="FirstParagraph"/>
      </w:pPr>
      <w:r>
        <w:t xml:space="preserve">03.03.2025</w:t>
      </w:r>
    </w:p>
    <w:p>
      <w:pPr>
        <w:pStyle w:val="BodyText"/>
      </w:pPr>
      <w:r>
        <w:drawing>
          <wp:inline>
            <wp:extent cx="5334000" cy="37687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28.02.2025_НЗ-23-865_5_Никитюк_А.В._Захарова_Д.А._page-00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87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http://nagatinsky-zaton.mos.ru/consumer-market/normative-documents/detail/12836332.html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consumer-market/normative-documents/detail/12836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consumer-market/normative-documents/detail/12836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2025-03-03T19:30:46Z</dcterms:created>
  <dcterms:modified xsi:type="dcterms:W3CDTF">2025-03-03T19:30:46Z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