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c90717e13cf78dfe9ee6f02c60df6ef484737"/>
    <w:p>
      <w:pPr>
        <w:pStyle w:val="Heading3"/>
      </w:pPr>
      <w:r>
        <w:t xml:space="preserve">Москва принимает участие в реализации отраслевого проекта ФНС России "Общественное питание"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листовка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sky-zaton.mos.ru/www/листовка-2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sky-zaton.mos.ru/www/листовка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http://nagatinsky-zaton.mos.ru/consumer-market/normative-documents/detail/12337698.html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agatinsky-zaton.mos.ru" TargetMode="External" /><Relationship Type="http://schemas.openxmlformats.org/officeDocument/2006/relationships/hyperlink" Id="rId29" Target="http://nagatinsky-zaton.mos.ru/consumer-market/normative-documents/detail/12337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sky-zaton.mos.ru" TargetMode="External" /><Relationship Type="http://schemas.openxmlformats.org/officeDocument/2006/relationships/hyperlink" Id="rId29" Target="http://nagatinsky-zaton.mos.ru/consumer-market/normative-documents/detail/12337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2025-02-22T13:00:14Z</dcterms:created>
  <dcterms:modified xsi:type="dcterms:W3CDTF">2025-02-22T13:00:14Z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