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4ec5d7340d3047d231a2f2084af246c538b81c"/>
    <w:p>
      <w:pPr>
        <w:pStyle w:val="Heading3"/>
      </w:pPr>
      <w:r>
        <w:t xml:space="preserve">Тематическое консультирование граждан с 14 по 23 августа 2023 года</w:t>
      </w:r>
    </w:p>
    <w:p>
      <w:pPr>
        <w:pStyle w:val="FirstParagraph"/>
      </w:pPr>
      <w:r>
        <w:t xml:space="preserve">27.07.2023</w:t>
      </w:r>
    </w:p>
    <w:p>
      <w:pPr>
        <w:pStyle w:val="BodyText"/>
      </w:pPr>
      <w:r>
        <w:drawing>
          <wp:inline>
            <wp:extent cx="5334000" cy="23544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583/tfrkwfnv294sh2hp105hfjs2gsnk4u2h/imgonline_com_ua_Resize_xamJ2Y5tfSs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54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http://nagatinsky-zaton.mos.ru/consumer-market/normative-documents/detail/11740403.html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consumer-market/normative-documents/detail/11740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consumer-market/normative-documents/detail/11740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2025-02-22T13:27:48Z</dcterms:created>
  <dcterms:modified xsi:type="dcterms:W3CDTF">2025-02-22T13:27:48Z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