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d238fd757132f68b238aaa285449aca614618"/>
    <w:p>
      <w:pPr>
        <w:pStyle w:val="Heading3"/>
      </w:pPr>
      <w:r>
        <w:t xml:space="preserve">Декларационная кампания за 1 квартал 2023 года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drawing>
          <wp:inline>
            <wp:extent cx="4004187" cy="5663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f1a/xv1jrti513e2pnvpbrsh8sp7em9k9fs9/imgonline_com_ua_Resize_qgQSRS2SPL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187" cy="566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http://nagatinsky-zaton.mos.ru/consumer-market/normative-documents/detail/11510199.html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1510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1510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2023-09-27T20:16:38Z</dcterms:created>
  <dcterms:modified xsi:type="dcterms:W3CDTF">2023-09-27T20:16:38Z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